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D26FC" w14:textId="77777777" w:rsidR="00A143A7" w:rsidRPr="00BD19CF" w:rsidRDefault="00A143A7" w:rsidP="00A143A7">
      <w:pPr>
        <w:tabs>
          <w:tab w:val="left" w:pos="360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D19CF">
        <w:rPr>
          <w:rFonts w:ascii="Arial" w:hAnsi="Arial" w:cs="Arial"/>
          <w:b/>
          <w:sz w:val="16"/>
          <w:szCs w:val="16"/>
        </w:rPr>
        <w:t>Jacksonville Film &amp; Television</w:t>
      </w:r>
    </w:p>
    <w:p w14:paraId="59AD7BF2" w14:textId="77777777" w:rsidR="00A143A7" w:rsidRPr="00BD19CF" w:rsidRDefault="00A143A7" w:rsidP="00A143A7">
      <w:pPr>
        <w:tabs>
          <w:tab w:val="left" w:pos="360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D19CF">
        <w:rPr>
          <w:rFonts w:ascii="Arial" w:hAnsi="Arial" w:cs="Arial"/>
          <w:b/>
          <w:sz w:val="16"/>
          <w:szCs w:val="16"/>
        </w:rPr>
        <w:t>Production Guide Application Instructions</w:t>
      </w:r>
    </w:p>
    <w:p w14:paraId="6F78CA0E" w14:textId="5869B076" w:rsidR="00A143A7" w:rsidRDefault="00A143A7" w:rsidP="00A143A7">
      <w:pPr>
        <w:tabs>
          <w:tab w:val="left" w:pos="360"/>
        </w:tabs>
        <w:spacing w:line="240" w:lineRule="auto"/>
        <w:rPr>
          <w:rFonts w:ascii="Arial" w:hAnsi="Arial" w:cs="Arial"/>
          <w:sz w:val="14"/>
          <w:szCs w:val="14"/>
        </w:rPr>
      </w:pPr>
      <w:r w:rsidRPr="0034408E">
        <w:rPr>
          <w:rFonts w:ascii="Arial" w:hAnsi="Arial" w:cs="Arial"/>
          <w:sz w:val="14"/>
          <w:szCs w:val="14"/>
        </w:rPr>
        <w:t>The Jacksonville Film &amp; Television Production Guide is the official guide for fi</w:t>
      </w:r>
      <w:r>
        <w:rPr>
          <w:rFonts w:ascii="Arial" w:hAnsi="Arial" w:cs="Arial"/>
          <w:sz w:val="14"/>
          <w:szCs w:val="14"/>
        </w:rPr>
        <w:t>lm and video production in NE</w:t>
      </w:r>
      <w:r w:rsidRPr="0034408E">
        <w:rPr>
          <w:rFonts w:ascii="Arial" w:hAnsi="Arial" w:cs="Arial"/>
          <w:sz w:val="14"/>
          <w:szCs w:val="14"/>
        </w:rPr>
        <w:t xml:space="preserve"> Florida. The</w:t>
      </w:r>
      <w:r w:rsidR="00B72E5E">
        <w:rPr>
          <w:rFonts w:ascii="Arial" w:hAnsi="Arial" w:cs="Arial"/>
          <w:sz w:val="14"/>
          <w:szCs w:val="14"/>
        </w:rPr>
        <w:t xml:space="preserve"> production</w:t>
      </w:r>
      <w:r w:rsidRPr="0034408E">
        <w:rPr>
          <w:rFonts w:ascii="Arial" w:hAnsi="Arial" w:cs="Arial"/>
          <w:sz w:val="14"/>
          <w:szCs w:val="14"/>
        </w:rPr>
        <w:t xml:space="preserve"> guide  </w:t>
      </w:r>
      <w:r w:rsidR="00B72E5E">
        <w:rPr>
          <w:rFonts w:ascii="Arial" w:hAnsi="Arial" w:cs="Arial"/>
          <w:sz w:val="14"/>
          <w:szCs w:val="14"/>
        </w:rPr>
        <w:t xml:space="preserve"> is</w:t>
      </w:r>
      <w:r w:rsidRPr="0034408E">
        <w:rPr>
          <w:rFonts w:ascii="Arial" w:hAnsi="Arial" w:cs="Arial"/>
          <w:sz w:val="14"/>
          <w:szCs w:val="14"/>
        </w:rPr>
        <w:t xml:space="preserve"> accessible online at </w:t>
      </w:r>
      <w:hyperlink r:id="rId5" w:history="1">
        <w:r w:rsidRPr="0034408E">
          <w:rPr>
            <w:rStyle w:val="Hyperlink"/>
            <w:rFonts w:ascii="Arial" w:hAnsi="Arial" w:cs="Arial"/>
            <w:sz w:val="14"/>
            <w:szCs w:val="14"/>
          </w:rPr>
          <w:t>www.filmjax.com</w:t>
        </w:r>
      </w:hyperlink>
      <w:r>
        <w:rPr>
          <w:rFonts w:ascii="Arial" w:hAnsi="Arial" w:cs="Arial"/>
          <w:sz w:val="14"/>
          <w:szCs w:val="14"/>
        </w:rPr>
        <w:t xml:space="preserve">. </w:t>
      </w:r>
    </w:p>
    <w:p w14:paraId="07EC5E72" w14:textId="77777777" w:rsidR="00A143A7" w:rsidRPr="0034408E" w:rsidRDefault="00A143A7" w:rsidP="00A143A7">
      <w:pPr>
        <w:tabs>
          <w:tab w:val="left" w:pos="360"/>
        </w:tabs>
        <w:spacing w:line="240" w:lineRule="auto"/>
        <w:rPr>
          <w:rFonts w:ascii="Arial" w:hAnsi="Arial" w:cs="Arial"/>
          <w:b/>
          <w:sz w:val="14"/>
          <w:szCs w:val="14"/>
        </w:rPr>
      </w:pPr>
      <w:r w:rsidRPr="0034408E">
        <w:rPr>
          <w:rFonts w:ascii="Arial" w:hAnsi="Arial" w:cs="Arial"/>
          <w:b/>
          <w:sz w:val="14"/>
          <w:szCs w:val="14"/>
        </w:rPr>
        <w:t>Application Instructions</w:t>
      </w:r>
    </w:p>
    <w:p w14:paraId="11EFE980" w14:textId="77777777" w:rsidR="00A143A7" w:rsidRDefault="00A143A7" w:rsidP="00A143A7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47164">
        <w:rPr>
          <w:rFonts w:ascii="Arial" w:hAnsi="Arial" w:cs="Arial"/>
          <w:sz w:val="14"/>
          <w:szCs w:val="14"/>
        </w:rPr>
        <w:t xml:space="preserve">Deadline for applications and fees (if any): ONLINE ONLY version of Production Guide – anytime.  </w:t>
      </w:r>
    </w:p>
    <w:p w14:paraId="3BDD7BD0" w14:textId="77777777" w:rsidR="00A143A7" w:rsidRPr="00D47164" w:rsidRDefault="00A143A7" w:rsidP="00A143A7">
      <w:pPr>
        <w:tabs>
          <w:tab w:val="left" w:pos="180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14:paraId="3AE3A9C3" w14:textId="77777777" w:rsidR="00A143A7" w:rsidRPr="00D47164" w:rsidRDefault="00A143A7" w:rsidP="00A143A7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80"/>
        <w:rPr>
          <w:rFonts w:ascii="Arial" w:hAnsi="Arial" w:cs="Arial"/>
          <w:sz w:val="14"/>
          <w:szCs w:val="14"/>
          <w:u w:val="single"/>
        </w:rPr>
      </w:pPr>
      <w:r w:rsidRPr="00D47164">
        <w:rPr>
          <w:rFonts w:ascii="Arial" w:hAnsi="Arial" w:cs="Arial"/>
          <w:sz w:val="14"/>
          <w:szCs w:val="14"/>
        </w:rPr>
        <w:t xml:space="preserve">Choose from two types of listings:  </w:t>
      </w:r>
      <w:r w:rsidRPr="00D47164">
        <w:rPr>
          <w:rFonts w:ascii="Arial" w:hAnsi="Arial" w:cs="Arial"/>
          <w:sz w:val="14"/>
          <w:szCs w:val="14"/>
          <w:u w:val="single"/>
        </w:rPr>
        <w:t>Individual</w:t>
      </w:r>
      <w:r w:rsidRPr="00D47164">
        <w:rPr>
          <w:rFonts w:ascii="Arial" w:hAnsi="Arial" w:cs="Arial"/>
          <w:sz w:val="14"/>
          <w:szCs w:val="14"/>
        </w:rPr>
        <w:t xml:space="preserve"> </w:t>
      </w:r>
      <w:r w:rsidRPr="00D47164">
        <w:rPr>
          <w:rFonts w:ascii="Arial" w:hAnsi="Arial" w:cs="Arial"/>
          <w:b/>
          <w:sz w:val="14"/>
          <w:szCs w:val="14"/>
        </w:rPr>
        <w:t>OR</w:t>
      </w:r>
      <w:r w:rsidRPr="00D47164">
        <w:rPr>
          <w:rFonts w:ascii="Arial" w:hAnsi="Arial" w:cs="Arial"/>
          <w:sz w:val="14"/>
          <w:szCs w:val="14"/>
        </w:rPr>
        <w:t xml:space="preserve"> </w:t>
      </w:r>
      <w:r w:rsidRPr="00D47164">
        <w:rPr>
          <w:rFonts w:ascii="Arial" w:hAnsi="Arial" w:cs="Arial"/>
          <w:sz w:val="14"/>
          <w:szCs w:val="14"/>
          <w:u w:val="single"/>
        </w:rPr>
        <w:t>Company</w:t>
      </w:r>
      <w:r w:rsidRPr="00D47164">
        <w:rPr>
          <w:rFonts w:ascii="Arial" w:hAnsi="Arial" w:cs="Arial"/>
          <w:sz w:val="14"/>
          <w:szCs w:val="14"/>
        </w:rPr>
        <w:t xml:space="preserve">.  Addresses must exist in Jacksonville’s ten county region: Alachua, Baker, Bradford, Clay, Columbia, Duval, Flagler, Nassau, Putnam, St. Johns. See the rules and regulations on </w:t>
      </w:r>
      <w:hyperlink r:id="rId6" w:history="1">
        <w:r w:rsidRPr="00D47164">
          <w:rPr>
            <w:rStyle w:val="Hyperlink"/>
            <w:rFonts w:ascii="Arial" w:hAnsi="Arial" w:cs="Arial"/>
            <w:sz w:val="14"/>
            <w:szCs w:val="14"/>
          </w:rPr>
          <w:t>www.filmjax.com</w:t>
        </w:r>
      </w:hyperlink>
      <w:r w:rsidRPr="00D47164">
        <w:rPr>
          <w:rFonts w:ascii="Arial" w:hAnsi="Arial" w:cs="Arial"/>
          <w:sz w:val="14"/>
          <w:szCs w:val="14"/>
        </w:rPr>
        <w:t xml:space="preserve"> for more information regarding qualifications for listings.</w:t>
      </w:r>
    </w:p>
    <w:p w14:paraId="4AF47774" w14:textId="77777777" w:rsidR="00A143A7" w:rsidRPr="00D47164" w:rsidRDefault="00A143A7" w:rsidP="00A143A7">
      <w:pPr>
        <w:tabs>
          <w:tab w:val="left" w:pos="180"/>
        </w:tabs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14:paraId="1F978046" w14:textId="77777777" w:rsidR="00A143A7" w:rsidRPr="0034408E" w:rsidRDefault="00A143A7" w:rsidP="00A143A7">
      <w:pPr>
        <w:tabs>
          <w:tab w:val="left" w:pos="180"/>
        </w:tabs>
        <w:spacing w:line="240" w:lineRule="auto"/>
        <w:ind w:left="180"/>
        <w:rPr>
          <w:rFonts w:ascii="Arial" w:hAnsi="Arial" w:cs="Arial"/>
          <w:sz w:val="14"/>
          <w:szCs w:val="14"/>
        </w:rPr>
      </w:pPr>
      <w:r w:rsidRPr="0034408E">
        <w:rPr>
          <w:rFonts w:ascii="Arial" w:hAnsi="Arial" w:cs="Arial"/>
          <w:b/>
          <w:sz w:val="14"/>
          <w:szCs w:val="14"/>
          <w:u w:val="single"/>
        </w:rPr>
        <w:t>Individual Listing</w:t>
      </w:r>
      <w:r w:rsidRPr="0034408E">
        <w:rPr>
          <w:rFonts w:ascii="Arial" w:hAnsi="Arial" w:cs="Arial"/>
          <w:sz w:val="14"/>
          <w:szCs w:val="14"/>
        </w:rPr>
        <w:t xml:space="preserve">:  </w:t>
      </w:r>
      <w:r>
        <w:rPr>
          <w:rFonts w:ascii="Arial" w:hAnsi="Arial" w:cs="Arial"/>
          <w:sz w:val="14"/>
          <w:szCs w:val="14"/>
        </w:rPr>
        <w:t xml:space="preserve">Independent contractors/freelancers only; may not be an employee of a company in the capacity of the requested listing. New listings must </w:t>
      </w:r>
      <w:r w:rsidRPr="0034408E">
        <w:rPr>
          <w:rFonts w:ascii="Arial" w:hAnsi="Arial" w:cs="Arial"/>
          <w:sz w:val="14"/>
          <w:szCs w:val="14"/>
        </w:rPr>
        <w:t xml:space="preserve">submit two call sheets (each from a different job) </w:t>
      </w:r>
      <w:r w:rsidRPr="0034408E">
        <w:rPr>
          <w:rFonts w:ascii="Arial" w:hAnsi="Arial" w:cs="Arial"/>
          <w:b/>
          <w:sz w:val="14"/>
          <w:szCs w:val="14"/>
          <w:u w:val="single"/>
        </w:rPr>
        <w:t>OR</w:t>
      </w:r>
      <w:r w:rsidRPr="0034408E">
        <w:rPr>
          <w:rFonts w:ascii="Arial" w:hAnsi="Arial" w:cs="Arial"/>
          <w:sz w:val="14"/>
          <w:szCs w:val="14"/>
        </w:rPr>
        <w:t xml:space="preserve"> a resume </w:t>
      </w:r>
      <w:r w:rsidRPr="0034408E">
        <w:rPr>
          <w:rFonts w:ascii="Arial" w:hAnsi="Arial" w:cs="Arial"/>
          <w:i/>
          <w:sz w:val="14"/>
          <w:szCs w:val="14"/>
        </w:rPr>
        <w:t xml:space="preserve">and </w:t>
      </w:r>
      <w:r w:rsidRPr="0034408E">
        <w:rPr>
          <w:rFonts w:ascii="Arial" w:hAnsi="Arial" w:cs="Arial"/>
          <w:sz w:val="14"/>
          <w:szCs w:val="14"/>
        </w:rPr>
        <w:t>two verifiable references from established industry professionals who can verify qualifications for each category.</w:t>
      </w:r>
      <w:r>
        <w:rPr>
          <w:rFonts w:ascii="Arial" w:hAnsi="Arial" w:cs="Arial"/>
          <w:sz w:val="14"/>
          <w:szCs w:val="14"/>
        </w:rPr>
        <w:t xml:space="preserve"> </w:t>
      </w:r>
      <w:r w:rsidRPr="0034408E">
        <w:rPr>
          <w:rFonts w:ascii="Arial" w:hAnsi="Arial" w:cs="Arial"/>
          <w:sz w:val="14"/>
          <w:szCs w:val="14"/>
        </w:rPr>
        <w:t xml:space="preserve"> Any experience in an academic environment does not qualify as professional experience.</w:t>
      </w:r>
      <w:r>
        <w:rPr>
          <w:rFonts w:ascii="Arial" w:hAnsi="Arial" w:cs="Arial"/>
          <w:sz w:val="14"/>
          <w:szCs w:val="14"/>
        </w:rPr>
        <w:t xml:space="preserve">  No fictitious or corporate names allowed.</w:t>
      </w:r>
    </w:p>
    <w:p w14:paraId="1220BCD2" w14:textId="77777777" w:rsidR="00A143A7" w:rsidRPr="0034408E" w:rsidRDefault="00A143A7" w:rsidP="00A143A7">
      <w:pPr>
        <w:tabs>
          <w:tab w:val="left" w:pos="180"/>
        </w:tabs>
        <w:spacing w:line="240" w:lineRule="auto"/>
        <w:ind w:left="180"/>
        <w:rPr>
          <w:rFonts w:ascii="Arial" w:hAnsi="Arial" w:cs="Arial"/>
          <w:sz w:val="14"/>
          <w:szCs w:val="14"/>
        </w:rPr>
      </w:pPr>
      <w:r w:rsidRPr="0034408E">
        <w:rPr>
          <w:rFonts w:ascii="Arial" w:hAnsi="Arial" w:cs="Arial"/>
          <w:b/>
          <w:sz w:val="14"/>
          <w:szCs w:val="14"/>
          <w:u w:val="single"/>
        </w:rPr>
        <w:t>Company Listing</w:t>
      </w:r>
      <w:r w:rsidRPr="0034408E">
        <w:rPr>
          <w:rFonts w:ascii="Arial" w:hAnsi="Arial" w:cs="Arial"/>
          <w:sz w:val="14"/>
          <w:szCs w:val="14"/>
        </w:rPr>
        <w:t xml:space="preserve">:  </w:t>
      </w:r>
      <w:r>
        <w:rPr>
          <w:rFonts w:ascii="Arial" w:hAnsi="Arial" w:cs="Arial"/>
          <w:sz w:val="14"/>
          <w:szCs w:val="14"/>
        </w:rPr>
        <w:t>A</w:t>
      </w:r>
      <w:r w:rsidRPr="0034408E">
        <w:rPr>
          <w:rFonts w:ascii="Arial" w:hAnsi="Arial" w:cs="Arial"/>
          <w:sz w:val="14"/>
          <w:szCs w:val="14"/>
        </w:rPr>
        <w:t xml:space="preserve"> current occupational license</w:t>
      </w:r>
      <w:r>
        <w:rPr>
          <w:rFonts w:ascii="Arial" w:hAnsi="Arial" w:cs="Arial"/>
          <w:sz w:val="14"/>
          <w:szCs w:val="14"/>
        </w:rPr>
        <w:t xml:space="preserve"> number</w:t>
      </w:r>
      <w:r w:rsidRPr="0034408E">
        <w:rPr>
          <w:rFonts w:ascii="Arial" w:hAnsi="Arial" w:cs="Arial"/>
          <w:sz w:val="14"/>
          <w:szCs w:val="14"/>
        </w:rPr>
        <w:t xml:space="preserve"> must be provided for new listings. </w:t>
      </w:r>
      <w:r>
        <w:rPr>
          <w:rFonts w:ascii="Arial" w:hAnsi="Arial" w:cs="Arial"/>
          <w:sz w:val="14"/>
          <w:szCs w:val="14"/>
        </w:rPr>
        <w:t>A</w:t>
      </w:r>
      <w:r w:rsidRPr="0034408E">
        <w:rPr>
          <w:rFonts w:ascii="Arial" w:hAnsi="Arial" w:cs="Arial"/>
          <w:sz w:val="14"/>
          <w:szCs w:val="14"/>
        </w:rPr>
        <w:t>ny a</w:t>
      </w:r>
      <w:r>
        <w:rPr>
          <w:rFonts w:ascii="Arial" w:hAnsi="Arial" w:cs="Arial"/>
          <w:sz w:val="14"/>
          <w:szCs w:val="14"/>
        </w:rPr>
        <w:t>dditional business information that helps qualify your company may be submitted.</w:t>
      </w:r>
    </w:p>
    <w:p w14:paraId="0CF89165" w14:textId="77777777" w:rsidR="00A143A7" w:rsidRDefault="00A143A7" w:rsidP="00A143A7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47164">
        <w:rPr>
          <w:rFonts w:ascii="Arial" w:hAnsi="Arial" w:cs="Arial"/>
          <w:b/>
          <w:sz w:val="14"/>
          <w:szCs w:val="14"/>
        </w:rPr>
        <w:t>Listing in TWO categories is</w:t>
      </w:r>
      <w:r w:rsidRPr="00D47164">
        <w:rPr>
          <w:rFonts w:ascii="Arial" w:hAnsi="Arial" w:cs="Arial"/>
          <w:sz w:val="14"/>
          <w:szCs w:val="14"/>
        </w:rPr>
        <w:t xml:space="preserve"> FREE. Each listing includes contact information and up to 25 words of description. Union affiliation and license numbers, where applicable, are not included in the word count.</w:t>
      </w:r>
    </w:p>
    <w:p w14:paraId="36EE7FA5" w14:textId="77777777" w:rsidR="00A143A7" w:rsidRDefault="00A143A7" w:rsidP="00A143A7">
      <w:pPr>
        <w:tabs>
          <w:tab w:val="left" w:pos="180"/>
        </w:tabs>
        <w:spacing w:after="0" w:line="240" w:lineRule="auto"/>
        <w:ind w:left="180"/>
        <w:rPr>
          <w:rFonts w:ascii="Arial" w:hAnsi="Arial" w:cs="Arial"/>
          <w:sz w:val="14"/>
          <w:szCs w:val="14"/>
        </w:rPr>
      </w:pPr>
    </w:p>
    <w:p w14:paraId="76A3C05E" w14:textId="77777777" w:rsidR="00A143A7" w:rsidRPr="00D47164" w:rsidRDefault="00A143A7" w:rsidP="00A143A7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47164">
        <w:rPr>
          <w:rFonts w:ascii="Arial" w:hAnsi="Arial" w:cs="Arial"/>
          <w:sz w:val="14"/>
          <w:szCs w:val="14"/>
        </w:rPr>
        <w:t>Enhancement options ($50 per item, per listing):</w:t>
      </w:r>
    </w:p>
    <w:p w14:paraId="0317D7C7" w14:textId="77777777" w:rsidR="00A143A7" w:rsidRPr="00D47164" w:rsidRDefault="00A143A7" w:rsidP="00A143A7">
      <w:pPr>
        <w:pStyle w:val="ListParagraph"/>
        <w:spacing w:line="240" w:lineRule="auto"/>
        <w:rPr>
          <w:rFonts w:ascii="Arial" w:hAnsi="Arial" w:cs="Arial"/>
          <w:sz w:val="14"/>
          <w:szCs w:val="14"/>
          <w:u w:val="single"/>
        </w:rPr>
      </w:pPr>
    </w:p>
    <w:p w14:paraId="44BDAA0F" w14:textId="77777777" w:rsidR="00A143A7" w:rsidRDefault="00A143A7" w:rsidP="00A143A7">
      <w:pPr>
        <w:pStyle w:val="ListParagraph"/>
        <w:tabs>
          <w:tab w:val="left" w:pos="180"/>
        </w:tabs>
        <w:spacing w:line="240" w:lineRule="auto"/>
        <w:ind w:left="540"/>
        <w:rPr>
          <w:rFonts w:ascii="Arial" w:hAnsi="Arial" w:cs="Arial"/>
          <w:sz w:val="14"/>
          <w:szCs w:val="14"/>
        </w:rPr>
      </w:pPr>
      <w:r w:rsidRPr="00D47164">
        <w:rPr>
          <w:rFonts w:ascii="Arial" w:hAnsi="Arial" w:cs="Arial"/>
          <w:sz w:val="14"/>
          <w:szCs w:val="14"/>
          <w:u w:val="single"/>
        </w:rPr>
        <w:t>Additional Listings</w:t>
      </w:r>
      <w:r w:rsidRPr="00D47164">
        <w:rPr>
          <w:rFonts w:ascii="Arial" w:hAnsi="Arial" w:cs="Arial"/>
          <w:sz w:val="14"/>
          <w:szCs w:val="14"/>
        </w:rPr>
        <w:t xml:space="preserve"> – Listings </w:t>
      </w:r>
      <w:proofErr w:type="gramStart"/>
      <w:r w:rsidRPr="00D47164">
        <w:rPr>
          <w:rFonts w:ascii="Arial" w:hAnsi="Arial" w:cs="Arial"/>
          <w:sz w:val="14"/>
          <w:szCs w:val="14"/>
        </w:rPr>
        <w:t>in excess of</w:t>
      </w:r>
      <w:proofErr w:type="gramEnd"/>
      <w:r w:rsidRPr="00D47164">
        <w:rPr>
          <w:rFonts w:ascii="Arial" w:hAnsi="Arial" w:cs="Arial"/>
          <w:sz w:val="14"/>
          <w:szCs w:val="14"/>
        </w:rPr>
        <w:t xml:space="preserve"> 2 free listings</w:t>
      </w:r>
    </w:p>
    <w:p w14:paraId="3B31E734" w14:textId="77777777" w:rsidR="00A143A7" w:rsidRDefault="00A143A7" w:rsidP="00A143A7">
      <w:pPr>
        <w:pStyle w:val="ListParagraph"/>
        <w:tabs>
          <w:tab w:val="left" w:pos="180"/>
        </w:tabs>
        <w:spacing w:line="240" w:lineRule="auto"/>
        <w:ind w:left="540"/>
        <w:rPr>
          <w:rFonts w:ascii="Arial" w:hAnsi="Arial" w:cs="Arial"/>
          <w:sz w:val="14"/>
          <w:szCs w:val="14"/>
        </w:rPr>
      </w:pPr>
      <w:r w:rsidRPr="0034408E">
        <w:rPr>
          <w:rFonts w:ascii="Arial" w:hAnsi="Arial" w:cs="Arial"/>
          <w:sz w:val="14"/>
          <w:szCs w:val="14"/>
          <w:u w:val="single"/>
        </w:rPr>
        <w:t>Enhanced Listings</w:t>
      </w:r>
      <w:r w:rsidRPr="0034408E">
        <w:rPr>
          <w:rFonts w:ascii="Arial" w:hAnsi="Arial" w:cs="Arial"/>
          <w:sz w:val="14"/>
          <w:szCs w:val="14"/>
        </w:rPr>
        <w:t xml:space="preserve"> – Bold typed</w:t>
      </w:r>
      <w:r>
        <w:rPr>
          <w:rFonts w:ascii="Arial" w:hAnsi="Arial" w:cs="Arial"/>
          <w:sz w:val="14"/>
          <w:szCs w:val="14"/>
        </w:rPr>
        <w:t xml:space="preserve"> &amp; box around</w:t>
      </w:r>
      <w:r w:rsidRPr="0034408E">
        <w:rPr>
          <w:rFonts w:ascii="Arial" w:hAnsi="Arial" w:cs="Arial"/>
          <w:sz w:val="14"/>
          <w:szCs w:val="14"/>
        </w:rPr>
        <w:t xml:space="preserve"> listing printed in the guide</w:t>
      </w:r>
    </w:p>
    <w:p w14:paraId="047F9A00" w14:textId="77777777" w:rsidR="00A143A7" w:rsidRPr="0034408E" w:rsidRDefault="00A143A7" w:rsidP="00A143A7">
      <w:pPr>
        <w:pStyle w:val="ListParagraph"/>
        <w:tabs>
          <w:tab w:val="left" w:pos="180"/>
        </w:tabs>
        <w:spacing w:line="240" w:lineRule="auto"/>
        <w:ind w:left="540"/>
        <w:rPr>
          <w:rFonts w:ascii="Arial" w:hAnsi="Arial" w:cs="Arial"/>
          <w:sz w:val="14"/>
          <w:szCs w:val="14"/>
        </w:rPr>
      </w:pPr>
      <w:r w:rsidRPr="0034408E">
        <w:rPr>
          <w:rFonts w:ascii="Arial" w:hAnsi="Arial" w:cs="Arial"/>
          <w:sz w:val="14"/>
          <w:szCs w:val="14"/>
          <w:u w:val="single"/>
        </w:rPr>
        <w:t>Extended Listings</w:t>
      </w:r>
      <w:r w:rsidRPr="0034408E">
        <w:rPr>
          <w:rFonts w:ascii="Arial" w:hAnsi="Arial" w:cs="Arial"/>
          <w:sz w:val="14"/>
          <w:szCs w:val="14"/>
        </w:rPr>
        <w:t xml:space="preserve"> – 50 word maximum for descriptions</w:t>
      </w:r>
      <w:r>
        <w:rPr>
          <w:rFonts w:ascii="Arial" w:hAnsi="Arial" w:cs="Arial"/>
          <w:sz w:val="14"/>
          <w:szCs w:val="14"/>
        </w:rPr>
        <w:t>, instead of 25</w:t>
      </w:r>
    </w:p>
    <w:p w14:paraId="2E4398E4" w14:textId="77777777" w:rsidR="00A143A7" w:rsidRPr="00234F21" w:rsidRDefault="00A143A7" w:rsidP="00A143A7">
      <w:pPr>
        <w:tabs>
          <w:tab w:val="left" w:pos="180"/>
        </w:tabs>
        <w:spacing w:line="240" w:lineRule="auto"/>
        <w:rPr>
          <w:rFonts w:ascii="Arial" w:hAnsi="Arial" w:cs="Arial"/>
          <w:sz w:val="12"/>
          <w:szCs w:val="12"/>
        </w:rPr>
      </w:pPr>
      <w:r w:rsidRPr="0034408E">
        <w:rPr>
          <w:rFonts w:ascii="Arial" w:hAnsi="Arial" w:cs="Arial"/>
          <w:sz w:val="14"/>
          <w:szCs w:val="14"/>
        </w:rPr>
        <w:t>5)</w:t>
      </w:r>
      <w:r w:rsidRPr="0034408E">
        <w:rPr>
          <w:rFonts w:ascii="Arial" w:hAnsi="Arial" w:cs="Arial"/>
          <w:sz w:val="14"/>
          <w:szCs w:val="14"/>
        </w:rPr>
        <w:tab/>
        <w:t>Submission:  Mail applications and fees (if any) to:</w:t>
      </w:r>
    </w:p>
    <w:p w14:paraId="724D20B7" w14:textId="77777777" w:rsidR="00A143A7" w:rsidRDefault="00A143A7" w:rsidP="00A143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240" w:lineRule="auto"/>
        <w:ind w:left="180" w:right="240"/>
        <w:jc w:val="center"/>
        <w:rPr>
          <w:rFonts w:ascii="Arial" w:hAnsi="Arial" w:cs="Arial"/>
          <w:b/>
          <w:sz w:val="14"/>
          <w:szCs w:val="14"/>
        </w:rPr>
      </w:pPr>
      <w:r w:rsidRPr="00234F21">
        <w:rPr>
          <w:rFonts w:ascii="Arial" w:hAnsi="Arial" w:cs="Arial"/>
          <w:b/>
          <w:sz w:val="14"/>
          <w:szCs w:val="14"/>
        </w:rPr>
        <w:t>Jacksonville Film and Television Office</w:t>
      </w:r>
    </w:p>
    <w:p w14:paraId="13ED0E09" w14:textId="77777777" w:rsidR="00A143A7" w:rsidRPr="00BD19CF" w:rsidRDefault="00A143A7" w:rsidP="00A143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240" w:lineRule="auto"/>
        <w:ind w:left="180" w:right="240"/>
        <w:jc w:val="center"/>
        <w:rPr>
          <w:rFonts w:ascii="Arial" w:hAnsi="Arial" w:cs="Arial"/>
          <w:b/>
          <w:bCs/>
          <w:sz w:val="12"/>
          <w:szCs w:val="12"/>
        </w:rPr>
      </w:pPr>
      <w:r w:rsidRPr="00BD19CF">
        <w:rPr>
          <w:rFonts w:ascii="Arial" w:hAnsi="Arial" w:cs="Arial"/>
          <w:b/>
          <w:bCs/>
          <w:sz w:val="12"/>
          <w:szCs w:val="12"/>
        </w:rPr>
        <w:t>Attn: Production Guide</w:t>
      </w:r>
    </w:p>
    <w:p w14:paraId="1FD8072E" w14:textId="182BF263" w:rsidR="00A143A7" w:rsidRDefault="00B72E5E" w:rsidP="00A143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240" w:lineRule="auto"/>
        <w:ind w:left="180" w:right="24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117 West Duval Street, Suite 275, </w:t>
      </w:r>
      <w:r>
        <w:rPr>
          <w:rFonts w:ascii="Arial" w:hAnsi="Arial" w:cs="Arial"/>
          <w:sz w:val="12"/>
          <w:szCs w:val="12"/>
        </w:rPr>
        <w:br/>
        <w:t>Jacksonville</w:t>
      </w:r>
      <w:r w:rsidR="00BD19CF">
        <w:rPr>
          <w:rFonts w:ascii="Arial" w:hAnsi="Arial" w:cs="Arial"/>
          <w:sz w:val="12"/>
          <w:szCs w:val="12"/>
        </w:rPr>
        <w:t>,</w:t>
      </w:r>
      <w:r>
        <w:rPr>
          <w:rFonts w:ascii="Arial" w:hAnsi="Arial" w:cs="Arial"/>
          <w:sz w:val="12"/>
          <w:szCs w:val="12"/>
        </w:rPr>
        <w:t xml:space="preserve"> FL 32202</w:t>
      </w:r>
    </w:p>
    <w:p w14:paraId="3D98408F" w14:textId="17CD1E1D" w:rsidR="00A143A7" w:rsidRDefault="00A143A7" w:rsidP="00A143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</w:tabs>
        <w:spacing w:line="240" w:lineRule="auto"/>
        <w:ind w:left="180" w:right="24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Questions? 904.630.1622 </w:t>
      </w:r>
      <w:proofErr w:type="gramStart"/>
      <w:r>
        <w:rPr>
          <w:rFonts w:ascii="Arial" w:hAnsi="Arial" w:cs="Arial"/>
          <w:sz w:val="12"/>
          <w:szCs w:val="12"/>
        </w:rPr>
        <w:t xml:space="preserve">or </w:t>
      </w:r>
      <w:r w:rsidRPr="00A143A7">
        <w:t xml:space="preserve"> </w:t>
      </w:r>
      <w:r w:rsidRPr="00A143A7">
        <w:rPr>
          <w:rFonts w:ascii="Arial" w:hAnsi="Arial" w:cs="Arial"/>
          <w:sz w:val="12"/>
          <w:szCs w:val="12"/>
        </w:rPr>
        <w:t>filmjaxinfo@coj.net</w:t>
      </w:r>
      <w:proofErr w:type="gramEnd"/>
      <w:r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12"/>
          <w:szCs w:val="12"/>
        </w:rPr>
        <w:br/>
        <w:t xml:space="preserve"> </w:t>
      </w:r>
      <w:hyperlink r:id="rId7" w:history="1">
        <w:r w:rsidRPr="00751566">
          <w:rPr>
            <w:rStyle w:val="Hyperlink"/>
            <w:rFonts w:ascii="Arial" w:hAnsi="Arial" w:cs="Arial"/>
            <w:sz w:val="12"/>
            <w:szCs w:val="12"/>
          </w:rPr>
          <w:t>www.filmjax.com</w:t>
        </w:r>
      </w:hyperlink>
      <w:r>
        <w:rPr>
          <w:rStyle w:val="Hyperlink"/>
          <w:rFonts w:ascii="Arial" w:hAnsi="Arial" w:cs="Arial"/>
          <w:sz w:val="12"/>
          <w:szCs w:val="12"/>
        </w:rPr>
        <w:br/>
      </w:r>
    </w:p>
    <w:p w14:paraId="14F1876B" w14:textId="77777777" w:rsidR="00A143A7" w:rsidRDefault="00A143A7" w:rsidP="00A143A7">
      <w:pPr>
        <w:tabs>
          <w:tab w:val="left" w:pos="180"/>
        </w:tabs>
        <w:spacing w:line="240" w:lineRule="auto"/>
        <w:ind w:left="180"/>
        <w:rPr>
          <w:rFonts w:ascii="Arial" w:hAnsi="Arial" w:cs="Arial"/>
          <w:sz w:val="14"/>
          <w:szCs w:val="14"/>
        </w:rPr>
      </w:pPr>
      <w:r w:rsidRPr="0034408E">
        <w:rPr>
          <w:rFonts w:ascii="Arial" w:hAnsi="Arial" w:cs="Arial"/>
          <w:sz w:val="14"/>
          <w:szCs w:val="14"/>
        </w:rPr>
        <w:t>No payments will be deposited until the applicant has been accepted into the production guide, and payments will be refunded in full if the applicant’s listing is deemed ineligible.</w:t>
      </w:r>
    </w:p>
    <w:p w14:paraId="10E4C2B4" w14:textId="178E4752" w:rsidR="00A143A7" w:rsidRPr="0034408E" w:rsidRDefault="00A143A7" w:rsidP="00A143A7">
      <w:pPr>
        <w:tabs>
          <w:tab w:val="left" w:pos="180"/>
        </w:tabs>
        <w:spacing w:line="240" w:lineRule="auto"/>
        <w:ind w:left="180"/>
        <w:rPr>
          <w:rFonts w:ascii="Arial" w:hAnsi="Arial" w:cs="Arial"/>
          <w:b/>
          <w:sz w:val="14"/>
          <w:szCs w:val="14"/>
        </w:rPr>
      </w:pPr>
      <w:r w:rsidRPr="0034408E">
        <w:rPr>
          <w:rFonts w:ascii="Arial" w:hAnsi="Arial" w:cs="Arial"/>
          <w:sz w:val="14"/>
          <w:szCs w:val="14"/>
        </w:rPr>
        <w:t xml:space="preserve">6)Applications must be typed or printed legibly. Incomplete applications will not be processed. Applications received without appropriate attachments or fees will not be processed. All applications will be reviewed by a committee of active professionals, </w:t>
      </w:r>
      <w:r>
        <w:rPr>
          <w:rFonts w:ascii="Arial" w:hAnsi="Arial" w:cs="Arial"/>
          <w:sz w:val="14"/>
          <w:szCs w:val="14"/>
        </w:rPr>
        <w:t>quarterly</w:t>
      </w:r>
      <w:r w:rsidRPr="0034408E">
        <w:rPr>
          <w:rFonts w:ascii="Arial" w:hAnsi="Arial" w:cs="Arial"/>
          <w:sz w:val="14"/>
          <w:szCs w:val="14"/>
        </w:rPr>
        <w:t xml:space="preserve">. </w:t>
      </w:r>
      <w:r w:rsidR="00B72E5E">
        <w:rPr>
          <w:rFonts w:ascii="Arial" w:hAnsi="Arial" w:cs="Arial"/>
          <w:sz w:val="14"/>
          <w:szCs w:val="14"/>
        </w:rPr>
        <w:t>T</w:t>
      </w:r>
      <w:r w:rsidRPr="0034408E">
        <w:rPr>
          <w:rFonts w:ascii="Arial" w:hAnsi="Arial" w:cs="Arial"/>
          <w:sz w:val="14"/>
          <w:szCs w:val="14"/>
        </w:rPr>
        <w:t>he online guide is updated throughout the year. If an application is not approved for the guide, a full refund of enhancement fees, if applicable, will be issued.</w:t>
      </w:r>
    </w:p>
    <w:p w14:paraId="330E3B06" w14:textId="2F23B8F9" w:rsidR="00A143A7" w:rsidRPr="0034408E" w:rsidRDefault="00A143A7" w:rsidP="00A143A7">
      <w:pPr>
        <w:tabs>
          <w:tab w:val="left" w:pos="360"/>
        </w:tabs>
        <w:spacing w:line="240" w:lineRule="auto"/>
        <w:ind w:left="180"/>
        <w:rPr>
          <w:rFonts w:ascii="Arial" w:hAnsi="Arial" w:cs="Arial"/>
          <w:b/>
          <w:sz w:val="14"/>
          <w:szCs w:val="14"/>
        </w:rPr>
      </w:pPr>
      <w:r w:rsidRPr="0034408E">
        <w:rPr>
          <w:rFonts w:ascii="Arial" w:hAnsi="Arial" w:cs="Arial"/>
          <w:b/>
          <w:sz w:val="14"/>
          <w:szCs w:val="14"/>
        </w:rPr>
        <w:t>It is the applicant’s responsibility to submit in writing any changes to listings via e</w:t>
      </w:r>
      <w:r w:rsidRPr="0034408E">
        <w:rPr>
          <w:rFonts w:ascii="Arial" w:hAnsi="Arial" w:cs="Arial"/>
          <w:b/>
          <w:sz w:val="14"/>
          <w:szCs w:val="14"/>
        </w:rPr>
        <w:noBreakHyphen/>
        <w:t xml:space="preserve">mail to </w:t>
      </w:r>
      <w:r>
        <w:rPr>
          <w:rFonts w:ascii="Arial" w:hAnsi="Arial" w:cs="Arial"/>
          <w:b/>
          <w:sz w:val="14"/>
          <w:szCs w:val="14"/>
        </w:rPr>
        <w:t xml:space="preserve"> </w:t>
      </w:r>
      <w:hyperlink r:id="rId8" w:history="1">
        <w:r w:rsidRPr="00211C9D">
          <w:rPr>
            <w:rStyle w:val="Hyperlink"/>
            <w:rFonts w:ascii="Arial" w:hAnsi="Arial" w:cs="Arial"/>
            <w:b/>
            <w:sz w:val="14"/>
            <w:szCs w:val="14"/>
          </w:rPr>
          <w:t>filmjaxinfo@coj.net</w:t>
        </w:r>
      </w:hyperlink>
      <w:r>
        <w:rPr>
          <w:rFonts w:ascii="Arial" w:hAnsi="Arial" w:cs="Arial"/>
          <w:b/>
          <w:sz w:val="14"/>
          <w:szCs w:val="14"/>
        </w:rPr>
        <w:t xml:space="preserve"> </w:t>
      </w:r>
      <w:r w:rsidRPr="0034408E">
        <w:rPr>
          <w:rFonts w:ascii="Arial" w:hAnsi="Arial" w:cs="Arial"/>
          <w:b/>
          <w:sz w:val="14"/>
          <w:szCs w:val="14"/>
        </w:rPr>
        <w:t>or via USPS to the address above.  The Jacksonville Film &amp; Television Office is not responsible for inaccurate information, errors, or omissions and reserves the right to edit and/or reject any listing due to lack of credentials or falsification of information.</w:t>
      </w:r>
    </w:p>
    <w:p w14:paraId="286A1BE9" w14:textId="77777777" w:rsidR="00B21832" w:rsidRDefault="00D7252C"/>
    <w:sectPr w:rsidR="00B2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0A28"/>
    <w:multiLevelType w:val="hybridMultilevel"/>
    <w:tmpl w:val="3864D998"/>
    <w:lvl w:ilvl="0" w:tplc="4844CE0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A7"/>
    <w:rsid w:val="002746F7"/>
    <w:rsid w:val="00561959"/>
    <w:rsid w:val="008931D4"/>
    <w:rsid w:val="00931353"/>
    <w:rsid w:val="00A143A7"/>
    <w:rsid w:val="00B72E5E"/>
    <w:rsid w:val="00B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05A5"/>
  <w15:chartTrackingRefBased/>
  <w15:docId w15:val="{39CE9D31-063B-4580-A3CC-B5084C5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3A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jaxinfo@coj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ja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mjax.com" TargetMode="External"/><Relationship Id="rId5" Type="http://schemas.openxmlformats.org/officeDocument/2006/relationships/hyperlink" Target="http://www.filmjax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Roobin, Todd</dc:creator>
  <cp:keywords/>
  <dc:description/>
  <cp:lastModifiedBy>Roobin, Todd</cp:lastModifiedBy>
  <cp:revision>2</cp:revision>
  <dcterms:created xsi:type="dcterms:W3CDTF">2020-10-19T17:28:00Z</dcterms:created>
  <dcterms:modified xsi:type="dcterms:W3CDTF">2020-10-19T17:28:00Z</dcterms:modified>
</cp:coreProperties>
</file>